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9246E0" w:rsidRPr="000970F1">
        <w:rPr>
          <w:b/>
        </w:rPr>
        <w:t>Realizácia výťahu v Starej radnici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pPr w:leftFromText="141" w:rightFromText="141" w:bottomFromText="200" w:vertAnchor="text" w:horzAnchor="margin" w:tblpXSpec="center" w:tblpY="53"/>
        <w:tblW w:w="9620" w:type="dxa"/>
        <w:tblLayout w:type="fixed"/>
        <w:tblLook w:val="01E0" w:firstRow="1" w:lastRow="1" w:firstColumn="1" w:lastColumn="1" w:noHBand="0" w:noVBand="0"/>
      </w:tblPr>
      <w:tblGrid>
        <w:gridCol w:w="3720"/>
        <w:gridCol w:w="2950"/>
        <w:gridCol w:w="21"/>
        <w:gridCol w:w="2929"/>
      </w:tblGrid>
      <w:tr w:rsidR="00653044" w:rsidTr="009C4AAF">
        <w:trPr>
          <w:trHeight w:val="21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653044" w:rsidTr="009C4AAF">
        <w:tc>
          <w:tcPr>
            <w:tcW w:w="372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653044" w:rsidRPr="004D3AB9" w:rsidTr="009C4AAF">
        <w:trPr>
          <w:trHeight w:val="21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653044" w:rsidRPr="004D3AB9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53044" w:rsidRPr="004D3AB9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44" w:rsidRPr="004D3AB9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653044" w:rsidTr="009C4AAF">
        <w:trPr>
          <w:trHeight w:val="155"/>
        </w:trPr>
        <w:tc>
          <w:tcPr>
            <w:tcW w:w="3720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53044" w:rsidTr="009C4AAF">
        <w:trPr>
          <w:trHeight w:val="716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653044" w:rsidRPr="00F72E6F" w:rsidTr="009C4AAF">
        <w:trPr>
          <w:trHeight w:val="5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653044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653044" w:rsidRPr="00F72E6F" w:rsidRDefault="00653044" w:rsidP="009C4AAF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44" w:rsidRPr="00F72E6F" w:rsidRDefault="00653044" w:rsidP="009C4AA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653044" w:rsidRDefault="00653044" w:rsidP="00155A37">
      <w:pPr>
        <w:rPr>
          <w:b/>
          <w:sz w:val="24"/>
          <w:u w:val="single"/>
        </w:rPr>
      </w:pPr>
    </w:p>
    <w:p w:rsidR="00653044" w:rsidRPr="00653044" w:rsidRDefault="00653044" w:rsidP="00155A37">
      <w:pPr>
        <w:rPr>
          <w:sz w:val="24"/>
        </w:rPr>
      </w:pPr>
      <w:r>
        <w:rPr>
          <w:sz w:val="24"/>
        </w:rPr>
        <w:tab/>
        <w:t>Tabuľka etáp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2835"/>
        <w:gridCol w:w="1559"/>
        <w:gridCol w:w="1560"/>
        <w:gridCol w:w="1417"/>
      </w:tblGrid>
      <w:tr w:rsidR="002D39F9" w:rsidRPr="00D20BAA" w:rsidTr="00653044">
        <w:trPr>
          <w:jc w:val="center"/>
        </w:trPr>
        <w:tc>
          <w:tcPr>
            <w:tcW w:w="1701" w:type="dxa"/>
          </w:tcPr>
          <w:p w:rsidR="002D39F9" w:rsidRDefault="002D39F9" w:rsidP="00FF22C7">
            <w:pPr>
              <w:jc w:val="center"/>
              <w:rPr>
                <w:rFonts w:cs="ArialNarrow"/>
                <w:b/>
              </w:rPr>
            </w:pPr>
          </w:p>
          <w:p w:rsidR="002D39F9" w:rsidRPr="00D20BAA" w:rsidRDefault="002D39F9" w:rsidP="00FF22C7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Č. etapy</w:t>
            </w:r>
          </w:p>
        </w:tc>
        <w:tc>
          <w:tcPr>
            <w:tcW w:w="2835" w:type="dxa"/>
          </w:tcPr>
          <w:p w:rsidR="002D39F9" w:rsidRDefault="002D39F9" w:rsidP="00FF22C7">
            <w:pPr>
              <w:jc w:val="center"/>
              <w:rPr>
                <w:rFonts w:cs="ArialNarrow"/>
                <w:b/>
              </w:rPr>
            </w:pPr>
          </w:p>
          <w:p w:rsidR="002D39F9" w:rsidRPr="00D20BAA" w:rsidRDefault="002D39F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559" w:type="dxa"/>
          </w:tcPr>
          <w:p w:rsidR="002D39F9" w:rsidRDefault="002D39F9" w:rsidP="00DE48BA">
            <w:pPr>
              <w:jc w:val="center"/>
              <w:rPr>
                <w:rFonts w:cs="ArialNarrow"/>
                <w:b/>
              </w:rPr>
            </w:pPr>
          </w:p>
          <w:p w:rsidR="002D39F9" w:rsidRDefault="002D39F9" w:rsidP="00DE48BA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560" w:type="dxa"/>
            <w:vAlign w:val="center"/>
          </w:tcPr>
          <w:p w:rsidR="002D39F9" w:rsidRDefault="002D39F9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417" w:type="dxa"/>
          </w:tcPr>
          <w:p w:rsidR="002D39F9" w:rsidRDefault="002D39F9" w:rsidP="00FF22C7">
            <w:pPr>
              <w:jc w:val="center"/>
              <w:rPr>
                <w:rFonts w:cs="ArialNarrow"/>
                <w:b/>
              </w:rPr>
            </w:pPr>
          </w:p>
          <w:p w:rsidR="002D39F9" w:rsidRDefault="002D39F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2D39F9" w:rsidRPr="00D20BAA" w:rsidRDefault="002D39F9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jc w:val="left"/>
              <w:rPr>
                <w:b/>
              </w:rPr>
            </w:pPr>
          </w:p>
          <w:p w:rsidR="002D39F9" w:rsidRPr="00E97429" w:rsidRDefault="002D39F9" w:rsidP="002D39F9">
            <w:pPr>
              <w:pStyle w:val="Odsekzoznamu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E97429">
              <w:rPr>
                <w:b/>
              </w:rPr>
              <w:t>Etapa</w:t>
            </w:r>
          </w:p>
          <w:p w:rsidR="002D39F9" w:rsidRPr="00E97429" w:rsidRDefault="002D39F9" w:rsidP="002D39F9">
            <w:pPr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D20BAA" w:rsidRDefault="00A13284" w:rsidP="002D39F9">
            <w:pPr>
              <w:jc w:val="left"/>
              <w:rPr>
                <w:rFonts w:cs="ArialNarrow"/>
              </w:rPr>
            </w:pPr>
            <w:r>
              <w:t>1.1 Spracovanie projektovej dokumentácie</w:t>
            </w:r>
            <w:r w:rsidR="002D39F9">
              <w:t xml:space="preserve"> výťahu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E97429">
              <w:rPr>
                <w:b/>
              </w:rPr>
              <w:t>Etapa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left"/>
              <w:rPr>
                <w:rFonts w:cs="ArialNarrow"/>
              </w:rPr>
            </w:pPr>
            <w:r>
              <w:t>2.1 Stavebná časť - základy a odvodnenie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left"/>
              <w:rPr>
                <w:rFonts w:cs="ArialNarrow"/>
              </w:rPr>
            </w:pPr>
            <w:r>
              <w:rPr>
                <w:szCs w:val="22"/>
              </w:rPr>
              <w:t xml:space="preserve">2.2 </w:t>
            </w:r>
            <w:r w:rsidRPr="004B6406">
              <w:rPr>
                <w:szCs w:val="22"/>
              </w:rPr>
              <w:t>Stavebná časť – nosná konštrukcia, opláštenie, strecha, elektroinštalácia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E97429">
              <w:rPr>
                <w:b/>
                <w:szCs w:val="22"/>
              </w:rPr>
              <w:t>Etapa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2D39F9" w:rsidRDefault="002D39F9" w:rsidP="002D39F9">
            <w:pPr>
              <w:pStyle w:val="Odsekzoznamu"/>
              <w:numPr>
                <w:ilvl w:val="1"/>
                <w:numId w:val="44"/>
              </w:numPr>
              <w:ind w:left="317" w:hanging="283"/>
              <w:jc w:val="left"/>
              <w:rPr>
                <w:rFonts w:cs="ArialNarrow"/>
              </w:rPr>
            </w:pPr>
            <w:r w:rsidRPr="002D39F9">
              <w:rPr>
                <w:szCs w:val="22"/>
              </w:rPr>
              <w:t>Technologická časť</w:t>
            </w:r>
          </w:p>
          <w:p w:rsidR="002D39F9" w:rsidRPr="002D39F9" w:rsidRDefault="002D39F9" w:rsidP="002D39F9">
            <w:pPr>
              <w:ind w:left="34"/>
              <w:jc w:val="left"/>
              <w:rPr>
                <w:rFonts w:cs="ArialNarrow"/>
              </w:rPr>
            </w:pPr>
            <w:r w:rsidRPr="002D39F9">
              <w:rPr>
                <w:szCs w:val="22"/>
              </w:rPr>
              <w:t>(komplet)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:rsidR="00653044" w:rsidRDefault="00653044" w:rsidP="00653044">
            <w:pPr>
              <w:jc w:val="right"/>
              <w:rPr>
                <w:b/>
              </w:rPr>
            </w:pPr>
          </w:p>
          <w:p w:rsidR="002D39F9" w:rsidRPr="00653044" w:rsidRDefault="00653044" w:rsidP="0065304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Cena spolu</w:t>
            </w:r>
            <w:r w:rsidRPr="00653044">
              <w:rPr>
                <w:b/>
                <w:i/>
              </w:rPr>
              <w:t xml:space="preserve"> (1. - 3. Etapa)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  <w:tr w:rsidR="002D39F9" w:rsidRPr="00D20BAA" w:rsidTr="0065304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D39F9" w:rsidRPr="00E97429" w:rsidRDefault="002D39F9" w:rsidP="002D39F9">
            <w:pPr>
              <w:pStyle w:val="Odsekzoznamu"/>
              <w:numPr>
                <w:ilvl w:val="0"/>
                <w:numId w:val="44"/>
              </w:numPr>
              <w:jc w:val="left"/>
              <w:rPr>
                <w:b/>
              </w:rPr>
            </w:pPr>
            <w:r w:rsidRPr="00E97429">
              <w:rPr>
                <w:b/>
              </w:rPr>
              <w:t>Etapa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39F9" w:rsidRPr="003D35CD" w:rsidRDefault="006F1D57" w:rsidP="002D39F9">
            <w:pPr>
              <w:pStyle w:val="Odsekzoznamu"/>
              <w:numPr>
                <w:ilvl w:val="1"/>
                <w:numId w:val="44"/>
              </w:numPr>
              <w:ind w:left="317" w:hanging="317"/>
              <w:jc w:val="left"/>
            </w:pPr>
            <w:r>
              <w:t>s</w:t>
            </w:r>
            <w:r w:rsidR="003D35CD" w:rsidRPr="003D35CD">
              <w:t>ervis/mesiac</w:t>
            </w:r>
          </w:p>
          <w:p w:rsidR="002D39F9" w:rsidRPr="003D35CD" w:rsidRDefault="002D39F9" w:rsidP="002D39F9">
            <w:pPr>
              <w:pStyle w:val="Odsekzoznamu"/>
              <w:numPr>
                <w:ilvl w:val="1"/>
                <w:numId w:val="44"/>
              </w:numPr>
              <w:ind w:left="317" w:hanging="317"/>
              <w:jc w:val="left"/>
              <w:rPr>
                <w:rFonts w:cs="ArialNarrow"/>
              </w:rPr>
            </w:pPr>
            <w:r w:rsidRPr="003D35CD">
              <w:t>revízie/</w:t>
            </w:r>
            <w:r w:rsidR="003D35CD" w:rsidRPr="003D35CD">
              <w:t>rok</w:t>
            </w:r>
          </w:p>
        </w:tc>
        <w:tc>
          <w:tcPr>
            <w:tcW w:w="1559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560" w:type="dxa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39F9" w:rsidRPr="00D20BAA" w:rsidRDefault="002D39F9" w:rsidP="002D39F9">
            <w:pPr>
              <w:jc w:val="center"/>
              <w:rPr>
                <w:rFonts w:cs="ArialNarrow"/>
              </w:rPr>
            </w:pPr>
          </w:p>
        </w:tc>
      </w:tr>
    </w:tbl>
    <w:p w:rsidR="00BA6308" w:rsidRDefault="00BA6308" w:rsidP="00155A37">
      <w:pPr>
        <w:rPr>
          <w:b/>
          <w:sz w:val="24"/>
          <w:u w:val="single"/>
        </w:rPr>
      </w:pPr>
    </w:p>
    <w:p w:rsidR="00873C2E" w:rsidRPr="005C573E" w:rsidRDefault="00653044" w:rsidP="00653044">
      <w:pPr>
        <w:ind w:firstLine="708"/>
        <w:rPr>
          <w:sz w:val="24"/>
        </w:rPr>
      </w:pPr>
      <w:r>
        <w:rPr>
          <w:sz w:val="24"/>
        </w:rPr>
        <w:t>Tabuľka</w:t>
      </w:r>
      <w:r w:rsidR="00873C2E" w:rsidRPr="005C573E">
        <w:rPr>
          <w:sz w:val="24"/>
        </w:rPr>
        <w:t xml:space="preserve"> servisnej činnosti</w:t>
      </w:r>
      <w:r w:rsidR="005C573E">
        <w:rPr>
          <w:sz w:val="24"/>
        </w:rPr>
        <w:t xml:space="preserve"> (4. Etapa)</w:t>
      </w:r>
      <w:r w:rsidR="00873C2E" w:rsidRPr="005C573E">
        <w:rPr>
          <w:sz w:val="24"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5799"/>
        <w:gridCol w:w="1418"/>
        <w:gridCol w:w="1278"/>
      </w:tblGrid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E97429">
            <w:pPr>
              <w:jc w:val="center"/>
              <w:rPr>
                <w:b/>
                <w:szCs w:val="22"/>
              </w:rPr>
            </w:pPr>
            <w:proofErr w:type="spellStart"/>
            <w:r w:rsidRPr="00E97429">
              <w:rPr>
                <w:b/>
                <w:szCs w:val="22"/>
              </w:rPr>
              <w:t>Por.č</w:t>
            </w:r>
            <w:proofErr w:type="spellEnd"/>
            <w:r w:rsidRPr="00E97429">
              <w:rPr>
                <w:b/>
                <w:szCs w:val="22"/>
              </w:rPr>
              <w:t>.</w:t>
            </w:r>
          </w:p>
        </w:tc>
        <w:tc>
          <w:tcPr>
            <w:tcW w:w="5799" w:type="dxa"/>
            <w:vAlign w:val="center"/>
          </w:tcPr>
          <w:p w:rsidR="00E97429" w:rsidRPr="00E97429" w:rsidRDefault="00E97429" w:rsidP="00E97429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Kritérium</w:t>
            </w:r>
          </w:p>
        </w:tc>
        <w:tc>
          <w:tcPr>
            <w:tcW w:w="1418" w:type="dxa"/>
            <w:vAlign w:val="center"/>
          </w:tcPr>
          <w:p w:rsidR="00E97429" w:rsidRPr="00E97429" w:rsidRDefault="00E97429" w:rsidP="00E97429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MJ</w:t>
            </w:r>
          </w:p>
        </w:tc>
        <w:tc>
          <w:tcPr>
            <w:tcW w:w="1278" w:type="dxa"/>
            <w:vAlign w:val="center"/>
          </w:tcPr>
          <w:p w:rsidR="00E97429" w:rsidRPr="00E97429" w:rsidRDefault="00E97429" w:rsidP="00E97429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Cena v € bez DPH</w:t>
            </w: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1.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Paušálna cena za práce podľa bodu 1 – 3 špecifikácie predmetu zákazky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mesiac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2.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Cena za práce podľa bodu 4 a 5 od 7,30 hod. do 16,00 hod. počas pracovných dní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hodina / osoba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3.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Cena za práce podľa bodu 4 a 5 od 16,00 hod. do 7,30 hod. počas pracovných dní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hodina / osoba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4.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Cena za práce podľa bodu 4 a 5 od 16,00 hod. do 7,30 hod. v sobotu, nedeľu a sviatok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hodina / osoba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E97429" w:rsidRPr="00E97429" w:rsidTr="00653044">
        <w:trPr>
          <w:jc w:val="center"/>
        </w:trPr>
        <w:tc>
          <w:tcPr>
            <w:tcW w:w="718" w:type="dxa"/>
            <w:vAlign w:val="center"/>
          </w:tcPr>
          <w:p w:rsidR="00E97429" w:rsidRPr="00E97429" w:rsidRDefault="00E97429" w:rsidP="005C573E">
            <w:pPr>
              <w:jc w:val="center"/>
              <w:rPr>
                <w:b/>
                <w:szCs w:val="22"/>
              </w:rPr>
            </w:pPr>
            <w:r w:rsidRPr="00E97429">
              <w:rPr>
                <w:b/>
                <w:szCs w:val="22"/>
              </w:rPr>
              <w:t>5.</w:t>
            </w:r>
          </w:p>
        </w:tc>
        <w:tc>
          <w:tcPr>
            <w:tcW w:w="5799" w:type="dxa"/>
          </w:tcPr>
          <w:p w:rsidR="00E97429" w:rsidRPr="00E97429" w:rsidRDefault="00E97429" w:rsidP="00873C2E">
            <w:pPr>
              <w:rPr>
                <w:szCs w:val="22"/>
              </w:rPr>
            </w:pPr>
            <w:r w:rsidRPr="00E97429">
              <w:rPr>
                <w:szCs w:val="22"/>
              </w:rPr>
              <w:t>Dopravné náklady</w:t>
            </w:r>
          </w:p>
        </w:tc>
        <w:tc>
          <w:tcPr>
            <w:tcW w:w="1418" w:type="dxa"/>
          </w:tcPr>
          <w:p w:rsidR="00E97429" w:rsidRPr="00E97429" w:rsidRDefault="00E97429" w:rsidP="005C573E">
            <w:pPr>
              <w:jc w:val="center"/>
              <w:rPr>
                <w:szCs w:val="22"/>
              </w:rPr>
            </w:pPr>
            <w:r w:rsidRPr="00E97429">
              <w:rPr>
                <w:szCs w:val="22"/>
              </w:rPr>
              <w:t>výjazd</w:t>
            </w:r>
          </w:p>
        </w:tc>
        <w:tc>
          <w:tcPr>
            <w:tcW w:w="1278" w:type="dxa"/>
          </w:tcPr>
          <w:p w:rsidR="00E97429" w:rsidRPr="00E97429" w:rsidRDefault="00E97429" w:rsidP="00873C2E">
            <w:pPr>
              <w:rPr>
                <w:szCs w:val="22"/>
              </w:rPr>
            </w:pPr>
          </w:p>
        </w:tc>
      </w:tr>
      <w:tr w:rsidR="005C573E" w:rsidRPr="00E97429" w:rsidTr="00653044">
        <w:trPr>
          <w:jc w:val="center"/>
        </w:trPr>
        <w:tc>
          <w:tcPr>
            <w:tcW w:w="6517" w:type="dxa"/>
            <w:gridSpan w:val="2"/>
            <w:shd w:val="clear" w:color="auto" w:fill="F2F2F2" w:themeFill="background1" w:themeFillShade="F2"/>
          </w:tcPr>
          <w:p w:rsidR="005C573E" w:rsidRDefault="005C573E" w:rsidP="005C573E">
            <w:pPr>
              <w:jc w:val="right"/>
              <w:rPr>
                <w:b/>
                <w:i/>
                <w:szCs w:val="22"/>
              </w:rPr>
            </w:pPr>
          </w:p>
          <w:p w:rsidR="005C573E" w:rsidRPr="005C573E" w:rsidRDefault="00653044" w:rsidP="00653044">
            <w:pPr>
              <w:jc w:val="righ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Cena celkom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C573E" w:rsidRPr="00E97429" w:rsidRDefault="005C573E" w:rsidP="00873C2E">
            <w:pPr>
              <w:rPr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</w:tcPr>
          <w:p w:rsidR="005C573E" w:rsidRPr="00E97429" w:rsidRDefault="005C573E" w:rsidP="00873C2E">
            <w:pPr>
              <w:rPr>
                <w:szCs w:val="22"/>
              </w:rPr>
            </w:pPr>
          </w:p>
        </w:tc>
      </w:tr>
    </w:tbl>
    <w:p w:rsidR="00E97429" w:rsidRDefault="00E97429" w:rsidP="00873C2E">
      <w:pPr>
        <w:rPr>
          <w:sz w:val="24"/>
          <w:u w:val="single"/>
        </w:rPr>
      </w:pP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  <w:u w:val="single"/>
        </w:rPr>
      </w:pPr>
      <w:r w:rsidRPr="00552A90">
        <w:rPr>
          <w:rFonts w:cs="Calibri"/>
          <w:color w:val="222222"/>
          <w:sz w:val="18"/>
          <w:szCs w:val="18"/>
          <w:u w:val="single"/>
        </w:rPr>
        <w:lastRenderedPageBreak/>
        <w:t>Podmienky servisnej činnosti počas záručnej doby: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1. Pravidelná preventívna údržba 1x mesačne: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Prevádzková prehliadka zariadení,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Mazanie častí zariadenia podľa predpisu výrobcu,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Kontrola nastavenia a jeho zriadenie,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Čistenie zariadení a výťahovej šachty od prevádzkových nečistôt,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Likvidácia nebezpečného odpadu vzniknutého z prevádzky zariadení,</w:t>
      </w:r>
    </w:p>
    <w:p w:rsidR="00552A90" w:rsidRPr="00552A90" w:rsidRDefault="00552A90" w:rsidP="000212C1">
      <w:pPr>
        <w:shd w:val="clear" w:color="auto" w:fill="FFFFFF"/>
        <w:ind w:left="142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- Pomocný materiál na vykonávanie činností pravidelnej údržby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 xml:space="preserve">2. Odborné prehliadky 1x štvrťročne vykonávané podľa vyhlášky č. 508/2009 </w:t>
      </w:r>
      <w:proofErr w:type="spellStart"/>
      <w:r w:rsidRPr="00552A90">
        <w:rPr>
          <w:rFonts w:cs="Calibri"/>
          <w:color w:val="222222"/>
          <w:sz w:val="18"/>
          <w:szCs w:val="18"/>
        </w:rPr>
        <w:t>Z.z</w:t>
      </w:r>
      <w:proofErr w:type="spellEnd"/>
      <w:r w:rsidRPr="00552A90">
        <w:rPr>
          <w:rFonts w:cs="Calibri"/>
          <w:color w:val="222222"/>
          <w:sz w:val="18"/>
          <w:szCs w:val="18"/>
        </w:rPr>
        <w:t>. , STN 27 4002 a STN EN 81-50, vrátane ich výsledkov</w:t>
      </w:r>
      <w:r>
        <w:rPr>
          <w:rFonts w:cs="Calibri"/>
          <w:color w:val="222222"/>
          <w:sz w:val="18"/>
          <w:szCs w:val="18"/>
        </w:rPr>
        <w:t>.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</w:p>
    <w:p w:rsid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 xml:space="preserve">3. 24-hodinová služba na vyslobodenie uviaznutých osôb, príp. v prípade vzniku akejkoľvek neštandardnej situácie na zariadení (nástup do 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>
        <w:rPr>
          <w:rFonts w:cs="Calibri"/>
          <w:color w:val="222222"/>
          <w:sz w:val="18"/>
          <w:szCs w:val="18"/>
        </w:rPr>
        <w:t xml:space="preserve">    </w:t>
      </w:r>
      <w:r w:rsidRPr="00552A90">
        <w:rPr>
          <w:rFonts w:cs="Calibri"/>
          <w:color w:val="222222"/>
          <w:sz w:val="18"/>
          <w:szCs w:val="18"/>
        </w:rPr>
        <w:t>60 min. od nahlásenia)</w:t>
      </w:r>
      <w:r>
        <w:rPr>
          <w:rFonts w:cs="Calibri"/>
          <w:color w:val="222222"/>
          <w:sz w:val="18"/>
          <w:szCs w:val="18"/>
        </w:rPr>
        <w:t>.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</w:p>
    <w:p w:rsid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 xml:space="preserve">4. Vykonávanie prác a opráv podľa požiadavky verejného obstarávateľa spolu s vypracovaním cenovej ponuky (nástup do 4 hod. od 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>
        <w:rPr>
          <w:rFonts w:cs="Calibri"/>
          <w:color w:val="222222"/>
          <w:sz w:val="18"/>
          <w:szCs w:val="18"/>
        </w:rPr>
        <w:t xml:space="preserve">    </w:t>
      </w:r>
      <w:r w:rsidRPr="00552A90">
        <w:rPr>
          <w:rFonts w:cs="Calibri"/>
          <w:color w:val="222222"/>
          <w:sz w:val="18"/>
          <w:szCs w:val="18"/>
        </w:rPr>
        <w:t>nahlásenia poruchy)</w:t>
      </w:r>
      <w:r>
        <w:rPr>
          <w:rFonts w:cs="Calibri"/>
          <w:color w:val="222222"/>
          <w:sz w:val="18"/>
          <w:szCs w:val="18"/>
        </w:rPr>
        <w:t>.</w:t>
      </w: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</w:p>
    <w:p w:rsidR="00552A90" w:rsidRPr="00552A90" w:rsidRDefault="00552A90" w:rsidP="000212C1">
      <w:pPr>
        <w:shd w:val="clear" w:color="auto" w:fill="FFFFFF"/>
        <w:rPr>
          <w:rFonts w:cs="Calibri"/>
          <w:color w:val="222222"/>
          <w:sz w:val="18"/>
          <w:szCs w:val="18"/>
        </w:rPr>
      </w:pPr>
      <w:r w:rsidRPr="00552A90">
        <w:rPr>
          <w:rFonts w:cs="Calibri"/>
          <w:color w:val="222222"/>
          <w:sz w:val="18"/>
          <w:szCs w:val="18"/>
        </w:rPr>
        <w:t>5. Odstraňovanie prevádzkových porúch v riadnom pracovnom čase, ako aj po pracovnom čase</w:t>
      </w:r>
      <w:r>
        <w:rPr>
          <w:rFonts w:cs="Calibri"/>
          <w:color w:val="222222"/>
          <w:sz w:val="18"/>
          <w:szCs w:val="18"/>
        </w:rPr>
        <w:t>.</w:t>
      </w:r>
    </w:p>
    <w:p w:rsidR="00552A90" w:rsidRDefault="00552A90" w:rsidP="00873C2E">
      <w:pPr>
        <w:rPr>
          <w:sz w:val="24"/>
          <w:u w:val="single"/>
        </w:rPr>
      </w:pPr>
    </w:p>
    <w:p w:rsidR="00E97429" w:rsidRPr="00873C2E" w:rsidRDefault="00E97429" w:rsidP="00873C2E">
      <w:pPr>
        <w:rPr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0212C1" w:rsidRDefault="004B168A" w:rsidP="0014602A">
      <w:pPr>
        <w:rPr>
          <w:b/>
          <w:sz w:val="24"/>
        </w:rPr>
      </w:pPr>
      <w:r w:rsidRPr="000212C1">
        <w:rPr>
          <w:sz w:val="24"/>
        </w:rPr>
        <w:t>Ja, dolu</w:t>
      </w:r>
      <w:r w:rsidR="005C573E" w:rsidRPr="000212C1">
        <w:rPr>
          <w:sz w:val="24"/>
        </w:rPr>
        <w:t xml:space="preserve"> </w:t>
      </w:r>
      <w:r w:rsidRPr="000212C1">
        <w:rPr>
          <w:sz w:val="24"/>
        </w:rPr>
        <w:t xml:space="preserve">podpísaný </w:t>
      </w:r>
      <w:r w:rsidR="001856AE" w:rsidRPr="000212C1">
        <w:rPr>
          <w:sz w:val="24"/>
        </w:rPr>
        <w:t>uchádzač</w:t>
      </w:r>
      <w:r w:rsidR="00526C25" w:rsidRPr="000212C1">
        <w:rPr>
          <w:sz w:val="24"/>
        </w:rPr>
        <w:t xml:space="preserve">, </w:t>
      </w:r>
      <w:r w:rsidRPr="000212C1">
        <w:rPr>
          <w:sz w:val="24"/>
        </w:rPr>
        <w:t>týmto</w:t>
      </w:r>
      <w:r w:rsidR="0014602A" w:rsidRPr="000212C1">
        <w:rPr>
          <w:sz w:val="24"/>
        </w:rPr>
        <w:t xml:space="preserve"> vyhlasujem, </w:t>
      </w:r>
      <w:r w:rsidR="000212C1" w:rsidRPr="000212C1">
        <w:rPr>
          <w:sz w:val="24"/>
        </w:rPr>
        <w:t xml:space="preserve">že ide o konečnú a úplnú cenu, ktorá nebude navýšená o ďalšie položky, </w:t>
      </w:r>
      <w:r w:rsidRPr="000212C1">
        <w:rPr>
          <w:sz w:val="24"/>
        </w:rPr>
        <w:t>že všetky údaje uvedené v nami predloženej ponuke sú pravdivé a úplné, v plnom rozsahu som sa oboznámil s</w:t>
      </w:r>
      <w:r w:rsidRPr="000212C1">
        <w:rPr>
          <w:color w:val="FF0000"/>
          <w:sz w:val="24"/>
        </w:rPr>
        <w:t xml:space="preserve"> </w:t>
      </w:r>
      <w:r w:rsidRPr="000212C1">
        <w:rPr>
          <w:sz w:val="24"/>
        </w:rPr>
        <w:t>podmie</w:t>
      </w:r>
      <w:r w:rsidR="00C76E8C" w:rsidRPr="000212C1">
        <w:rPr>
          <w:sz w:val="24"/>
        </w:rPr>
        <w:t xml:space="preserve">nkami uvedenými v tejto výzve, </w:t>
      </w:r>
      <w:r w:rsidRPr="000212C1">
        <w:rPr>
          <w:sz w:val="24"/>
        </w:rPr>
        <w:t xml:space="preserve">rozsahom predmetu zákazky a </w:t>
      </w:r>
      <w:r w:rsidRPr="000212C1">
        <w:rPr>
          <w:bCs/>
          <w:sz w:val="24"/>
        </w:rPr>
        <w:t>súhlasím s podmienkami</w:t>
      </w:r>
      <w:r w:rsidRPr="000212C1">
        <w:rPr>
          <w:sz w:val="24"/>
        </w:rPr>
        <w:t xml:space="preserve">  verejného obstarávani</w:t>
      </w:r>
      <w:r w:rsidR="00644C5B" w:rsidRPr="000212C1">
        <w:rPr>
          <w:sz w:val="24"/>
        </w:rPr>
        <w:t>a</w:t>
      </w:r>
      <w:r w:rsidRPr="000212C1">
        <w:rPr>
          <w:sz w:val="24"/>
        </w:rPr>
        <w:t>.</w:t>
      </w:r>
    </w:p>
    <w:p w:rsidR="001A2F94" w:rsidRDefault="001A2F94" w:rsidP="00155A37">
      <w:pPr>
        <w:rPr>
          <w:i/>
          <w:sz w:val="24"/>
        </w:rPr>
      </w:pPr>
    </w:p>
    <w:p w:rsidR="000212C1" w:rsidRDefault="000212C1" w:rsidP="00155A37">
      <w:pPr>
        <w:rPr>
          <w:i/>
          <w:sz w:val="24"/>
        </w:rPr>
      </w:pPr>
    </w:p>
    <w:p w:rsidR="000212C1" w:rsidRDefault="000212C1" w:rsidP="00155A37">
      <w:pPr>
        <w:rPr>
          <w:i/>
          <w:sz w:val="24"/>
        </w:rPr>
      </w:pPr>
    </w:p>
    <w:p w:rsidR="000212C1" w:rsidRPr="00155A37" w:rsidRDefault="000212C1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1A2F94" w:rsidRDefault="001A2F94" w:rsidP="00155A37">
      <w:pPr>
        <w:rPr>
          <w:sz w:val="24"/>
        </w:rPr>
      </w:pPr>
    </w:p>
    <w:p w:rsidR="000212C1" w:rsidRDefault="000212C1" w:rsidP="00155A37">
      <w:pPr>
        <w:rPr>
          <w:sz w:val="24"/>
        </w:rPr>
      </w:pPr>
    </w:p>
    <w:p w:rsidR="000212C1" w:rsidRDefault="000212C1" w:rsidP="00155A37">
      <w:pPr>
        <w:rPr>
          <w:sz w:val="24"/>
        </w:rPr>
      </w:pPr>
    </w:p>
    <w:p w:rsidR="000212C1" w:rsidRDefault="000212C1" w:rsidP="00155A37">
      <w:pPr>
        <w:rPr>
          <w:sz w:val="24"/>
        </w:rPr>
      </w:pPr>
    </w:p>
    <w:p w:rsidR="000212C1" w:rsidRPr="00155A37" w:rsidRDefault="000212C1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663" w:rsidRDefault="00493663">
      <w:r>
        <w:separator/>
      </w:r>
    </w:p>
  </w:endnote>
  <w:endnote w:type="continuationSeparator" w:id="0">
    <w:p w:rsidR="00493663" w:rsidRDefault="0049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663" w:rsidRDefault="00493663">
      <w:r>
        <w:separator/>
      </w:r>
    </w:p>
  </w:footnote>
  <w:footnote w:type="continuationSeparator" w:id="0">
    <w:p w:rsidR="00493663" w:rsidRDefault="00493663">
      <w:r>
        <w:continuationSeparator/>
      </w:r>
    </w:p>
  </w:footnote>
  <w:footnote w:id="1">
    <w:p w:rsidR="00653044" w:rsidRDefault="00653044" w:rsidP="0065304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13E2"/>
    <w:multiLevelType w:val="multilevel"/>
    <w:tmpl w:val="7F0A2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6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28"/>
  </w:num>
  <w:num w:numId="12">
    <w:abstractNumId w:val="39"/>
  </w:num>
  <w:num w:numId="13">
    <w:abstractNumId w:val="27"/>
  </w:num>
  <w:num w:numId="14">
    <w:abstractNumId w:val="16"/>
  </w:num>
  <w:num w:numId="15">
    <w:abstractNumId w:val="38"/>
  </w:num>
  <w:num w:numId="16">
    <w:abstractNumId w:val="31"/>
  </w:num>
  <w:num w:numId="17">
    <w:abstractNumId w:val="40"/>
  </w:num>
  <w:num w:numId="18">
    <w:abstractNumId w:val="9"/>
  </w:num>
  <w:num w:numId="19">
    <w:abstractNumId w:val="17"/>
  </w:num>
  <w:num w:numId="20">
    <w:abstractNumId w:val="11"/>
  </w:num>
  <w:num w:numId="21">
    <w:abstractNumId w:val="19"/>
  </w:num>
  <w:num w:numId="22">
    <w:abstractNumId w:val="41"/>
  </w:num>
  <w:num w:numId="23">
    <w:abstractNumId w:val="36"/>
  </w:num>
  <w:num w:numId="24">
    <w:abstractNumId w:val="3"/>
  </w:num>
  <w:num w:numId="25">
    <w:abstractNumId w:val="32"/>
  </w:num>
  <w:num w:numId="26">
    <w:abstractNumId w:val="26"/>
  </w:num>
  <w:num w:numId="27">
    <w:abstractNumId w:val="33"/>
  </w:num>
  <w:num w:numId="28">
    <w:abstractNumId w:val="20"/>
  </w:num>
  <w:num w:numId="29">
    <w:abstractNumId w:val="18"/>
  </w:num>
  <w:num w:numId="30">
    <w:abstractNumId w:val="10"/>
  </w:num>
  <w:num w:numId="31">
    <w:abstractNumId w:val="13"/>
  </w:num>
  <w:num w:numId="32">
    <w:abstractNumId w:val="14"/>
  </w:num>
  <w:num w:numId="33">
    <w:abstractNumId w:val="22"/>
  </w:num>
  <w:num w:numId="34">
    <w:abstractNumId w:val="21"/>
  </w:num>
  <w:num w:numId="35">
    <w:abstractNumId w:val="24"/>
  </w:num>
  <w:num w:numId="36">
    <w:abstractNumId w:val="23"/>
  </w:num>
  <w:num w:numId="37">
    <w:abstractNumId w:val="29"/>
  </w:num>
  <w:num w:numId="38">
    <w:abstractNumId w:val="12"/>
  </w:num>
  <w:num w:numId="39">
    <w:abstractNumId w:val="25"/>
  </w:num>
  <w:num w:numId="40">
    <w:abstractNumId w:val="35"/>
  </w:num>
  <w:num w:numId="41">
    <w:abstractNumId w:val="15"/>
  </w:num>
  <w:num w:numId="42">
    <w:abstractNumId w:val="7"/>
  </w:num>
  <w:num w:numId="43">
    <w:abstractNumId w:val="3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12C1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D50D1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D39F9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35CD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3663"/>
    <w:rsid w:val="00496CAF"/>
    <w:rsid w:val="004A053A"/>
    <w:rsid w:val="004A580B"/>
    <w:rsid w:val="004B1084"/>
    <w:rsid w:val="004B168A"/>
    <w:rsid w:val="004B4209"/>
    <w:rsid w:val="004B6406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52A90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C573E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44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1D57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594E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3F3C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3C2E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31F4"/>
    <w:rsid w:val="009246E0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8428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3284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BBD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97429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75486D-5F1C-4722-87B0-DA85C7A3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65304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65304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53044"/>
    <w:rPr>
      <w:rFonts w:ascii="Arial Narrow" w:hAnsi="Arial Narrow"/>
    </w:rPr>
  </w:style>
  <w:style w:type="character" w:styleId="Odkaznapoznmkupodiarou">
    <w:name w:val="footnote reference"/>
    <w:semiHidden/>
    <w:unhideWhenUsed/>
    <w:rsid w:val="00653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ACEB-0311-4FC9-AA28-5C60E2BB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2021-02-24T09:18:00Z</dcterms:created>
  <dcterms:modified xsi:type="dcterms:W3CDTF">2021-02-24T09:18:00Z</dcterms:modified>
</cp:coreProperties>
</file>