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608A3">
        <w:rPr>
          <w:b/>
          <w:sz w:val="24"/>
        </w:rPr>
        <w:t>1</w:t>
      </w:r>
    </w:p>
    <w:p w:rsidR="00BA6308" w:rsidRPr="00BA6308" w:rsidRDefault="00BA6308" w:rsidP="00BA6308">
      <w:pPr>
        <w:jc w:val="center"/>
        <w:rPr>
          <w:sz w:val="24"/>
        </w:rPr>
      </w:pPr>
      <w:r w:rsidRPr="00BA6308">
        <w:rPr>
          <w:sz w:val="24"/>
        </w:rPr>
        <w:t>Návrh uchádzača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243B62">
        <w:rPr>
          <w:b/>
        </w:rPr>
        <w:t>Obsluha kotolne na MsÚ Pezinok</w:t>
      </w:r>
      <w:r w:rsidRPr="00BA6308">
        <w:rPr>
          <w:b/>
          <w:sz w:val="24"/>
        </w:rPr>
        <w:t>“</w:t>
      </w:r>
    </w:p>
    <w:p w:rsidR="00297899" w:rsidRPr="00BA6308" w:rsidRDefault="00297899" w:rsidP="00BA6308">
      <w:pPr>
        <w:jc w:val="center"/>
        <w:rPr>
          <w:b/>
          <w:sz w:val="24"/>
        </w:rPr>
      </w:pP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744"/>
        <w:gridCol w:w="1634"/>
        <w:gridCol w:w="1464"/>
        <w:gridCol w:w="1547"/>
        <w:gridCol w:w="1641"/>
      </w:tblGrid>
      <w:tr w:rsidR="00243B62" w:rsidRPr="00D20BAA" w:rsidTr="00243B62">
        <w:tc>
          <w:tcPr>
            <w:tcW w:w="3744" w:type="dxa"/>
            <w:shd w:val="clear" w:color="auto" w:fill="DAEEF3" w:themeFill="accent5" w:themeFillTint="33"/>
          </w:tcPr>
          <w:p w:rsidR="00243B62" w:rsidRDefault="00243B62" w:rsidP="00FF22C7">
            <w:pPr>
              <w:jc w:val="center"/>
              <w:rPr>
                <w:rFonts w:cs="ArialNarrow"/>
                <w:b/>
              </w:rPr>
            </w:pPr>
          </w:p>
          <w:p w:rsidR="00243B62" w:rsidRPr="00D20BAA" w:rsidRDefault="00243B62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634" w:type="dxa"/>
            <w:shd w:val="clear" w:color="auto" w:fill="DAEEF3" w:themeFill="accent5" w:themeFillTint="33"/>
          </w:tcPr>
          <w:p w:rsidR="00243B62" w:rsidRDefault="00243B62" w:rsidP="00FF22C7">
            <w:pPr>
              <w:jc w:val="center"/>
              <w:rPr>
                <w:rFonts w:cs="ArialNarrow"/>
                <w:b/>
              </w:rPr>
            </w:pPr>
          </w:p>
          <w:p w:rsidR="00243B62" w:rsidRPr="00D20BAA" w:rsidRDefault="00243B62" w:rsidP="00FF22C7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Množstvo</w:t>
            </w:r>
          </w:p>
        </w:tc>
        <w:tc>
          <w:tcPr>
            <w:tcW w:w="1464" w:type="dxa"/>
            <w:shd w:val="clear" w:color="auto" w:fill="DAEEF3" w:themeFill="accent5" w:themeFillTint="33"/>
          </w:tcPr>
          <w:p w:rsidR="00243B62" w:rsidRDefault="00243B62" w:rsidP="00FF22C7">
            <w:pPr>
              <w:jc w:val="center"/>
              <w:rPr>
                <w:rFonts w:cs="ArialNarrow"/>
                <w:b/>
              </w:rPr>
            </w:pPr>
          </w:p>
          <w:p w:rsidR="00243B62" w:rsidRDefault="00243B62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547" w:type="dxa"/>
            <w:shd w:val="clear" w:color="auto" w:fill="DAEEF3" w:themeFill="accent5" w:themeFillTint="33"/>
          </w:tcPr>
          <w:p w:rsidR="00243B62" w:rsidRDefault="00243B62" w:rsidP="00FF22C7">
            <w:pPr>
              <w:jc w:val="center"/>
              <w:rPr>
                <w:rFonts w:cs="ArialNarrow"/>
                <w:b/>
              </w:rPr>
            </w:pPr>
          </w:p>
          <w:p w:rsidR="00243B62" w:rsidRDefault="00243B62" w:rsidP="00FF22C7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641" w:type="dxa"/>
            <w:shd w:val="clear" w:color="auto" w:fill="DAEEF3" w:themeFill="accent5" w:themeFillTint="33"/>
          </w:tcPr>
          <w:p w:rsidR="00243B62" w:rsidRDefault="00243B62" w:rsidP="00FF22C7">
            <w:pPr>
              <w:jc w:val="center"/>
              <w:rPr>
                <w:rFonts w:cs="ArialNarrow"/>
                <w:b/>
              </w:rPr>
            </w:pPr>
          </w:p>
          <w:p w:rsidR="00243B62" w:rsidRDefault="00243B62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243B62" w:rsidRPr="00D20BAA" w:rsidRDefault="00243B62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243B62" w:rsidRPr="00D20BAA" w:rsidTr="00B32E8B">
        <w:tc>
          <w:tcPr>
            <w:tcW w:w="3744" w:type="dxa"/>
            <w:shd w:val="clear" w:color="auto" w:fill="auto"/>
            <w:vAlign w:val="center"/>
          </w:tcPr>
          <w:p w:rsidR="00243B62" w:rsidRPr="00243B62" w:rsidRDefault="00243B62" w:rsidP="00B32E8B">
            <w:pPr>
              <w:jc w:val="left"/>
              <w:rPr>
                <w:rFonts w:cs="ArialNarrow"/>
                <w:i/>
                <w:szCs w:val="22"/>
              </w:rPr>
            </w:pPr>
            <w:r w:rsidRPr="00243B62">
              <w:rPr>
                <w:szCs w:val="22"/>
              </w:rPr>
              <w:t>Obsluha kotolne</w:t>
            </w:r>
            <w:r w:rsidR="00F62B31">
              <w:rPr>
                <w:szCs w:val="22"/>
              </w:rPr>
              <w:t xml:space="preserve"> </w:t>
            </w:r>
          </w:p>
          <w:p w:rsidR="00243B62" w:rsidRPr="00243B62" w:rsidRDefault="00243B62" w:rsidP="00B32E8B">
            <w:pPr>
              <w:jc w:val="left"/>
              <w:rPr>
                <w:rFonts w:cs="ArialNarrow"/>
                <w:i/>
                <w:szCs w:val="22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43B62" w:rsidRPr="00D20BAA" w:rsidRDefault="00243B62" w:rsidP="00243B62">
            <w:pPr>
              <w:jc w:val="center"/>
              <w:rPr>
                <w:rFonts w:cs="ArialNarrow"/>
              </w:rPr>
            </w:pPr>
            <w:r>
              <w:rPr>
                <w:rFonts w:cs="ArialNarrow"/>
              </w:rPr>
              <w:t>1</w:t>
            </w:r>
            <w:r w:rsidR="00F519F4">
              <w:rPr>
                <w:rFonts w:cs="ArialNarrow"/>
              </w:rPr>
              <w:t>2</w:t>
            </w:r>
          </w:p>
        </w:tc>
        <w:tc>
          <w:tcPr>
            <w:tcW w:w="1464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</w:tr>
      <w:tr w:rsidR="00243B62" w:rsidRPr="00D20BAA" w:rsidTr="00B32E8B">
        <w:tc>
          <w:tcPr>
            <w:tcW w:w="3744" w:type="dxa"/>
            <w:shd w:val="clear" w:color="auto" w:fill="auto"/>
            <w:vAlign w:val="center"/>
          </w:tcPr>
          <w:p w:rsidR="00243B62" w:rsidRPr="00243B62" w:rsidRDefault="00243B62" w:rsidP="00B32E8B">
            <w:pPr>
              <w:jc w:val="left"/>
              <w:rPr>
                <w:szCs w:val="22"/>
              </w:rPr>
            </w:pPr>
            <w:r w:rsidRPr="00243B62">
              <w:rPr>
                <w:szCs w:val="22"/>
              </w:rPr>
              <w:t>Pravidelný servis:</w:t>
            </w:r>
          </w:p>
          <w:p w:rsidR="00243B62" w:rsidRPr="00243B62" w:rsidRDefault="00243B62" w:rsidP="00B32E8B">
            <w:pPr>
              <w:jc w:val="left"/>
              <w:rPr>
                <w:szCs w:val="22"/>
              </w:rPr>
            </w:pPr>
            <w:r w:rsidRPr="00243B62">
              <w:rPr>
                <w:rStyle w:val="Siln"/>
                <w:b w:val="0"/>
                <w:szCs w:val="22"/>
              </w:rPr>
              <w:t>Odborná prehliadka kotolne</w:t>
            </w:r>
            <w:r>
              <w:rPr>
                <w:rStyle w:val="Siln"/>
                <w:b w:val="0"/>
                <w:szCs w:val="22"/>
              </w:rPr>
              <w:t xml:space="preserve"> 1xročne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43B62" w:rsidRPr="00D20BAA" w:rsidRDefault="00243B62" w:rsidP="00243B62">
            <w:pPr>
              <w:jc w:val="center"/>
              <w:rPr>
                <w:rFonts w:cs="ArialNarrow"/>
              </w:rPr>
            </w:pPr>
            <w:r>
              <w:rPr>
                <w:rFonts w:cs="ArialNarrow"/>
              </w:rPr>
              <w:t>1</w:t>
            </w:r>
          </w:p>
        </w:tc>
        <w:tc>
          <w:tcPr>
            <w:tcW w:w="1464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</w:tr>
      <w:tr w:rsidR="00243B62" w:rsidRPr="00D20BAA" w:rsidTr="00B32E8B">
        <w:tc>
          <w:tcPr>
            <w:tcW w:w="3744" w:type="dxa"/>
            <w:shd w:val="clear" w:color="auto" w:fill="auto"/>
            <w:vAlign w:val="center"/>
          </w:tcPr>
          <w:p w:rsidR="00243B62" w:rsidRPr="00243B62" w:rsidRDefault="00243B62" w:rsidP="00B32E8B">
            <w:pPr>
              <w:jc w:val="left"/>
              <w:rPr>
                <w:szCs w:val="22"/>
              </w:rPr>
            </w:pPr>
            <w:r w:rsidRPr="00243B62">
              <w:rPr>
                <w:rStyle w:val="Siln"/>
                <w:b w:val="0"/>
                <w:szCs w:val="22"/>
              </w:rPr>
              <w:t>Revízia plynových a tlakových zariadení</w:t>
            </w:r>
            <w:r>
              <w:rPr>
                <w:rStyle w:val="Siln"/>
                <w:b w:val="0"/>
                <w:szCs w:val="22"/>
              </w:rPr>
              <w:t xml:space="preserve"> 1xročne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43B62" w:rsidRPr="00D20BAA" w:rsidRDefault="00B32E8B" w:rsidP="00243B62">
            <w:pPr>
              <w:jc w:val="center"/>
              <w:rPr>
                <w:rFonts w:cs="ArialNarrow"/>
              </w:rPr>
            </w:pPr>
            <w:r>
              <w:rPr>
                <w:rFonts w:cs="ArialNarrow"/>
              </w:rPr>
              <w:t>2+3</w:t>
            </w:r>
          </w:p>
        </w:tc>
        <w:tc>
          <w:tcPr>
            <w:tcW w:w="1464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</w:tr>
      <w:tr w:rsidR="00243B62" w:rsidRPr="00D20BAA" w:rsidTr="00B32E8B">
        <w:tc>
          <w:tcPr>
            <w:tcW w:w="3744" w:type="dxa"/>
            <w:shd w:val="clear" w:color="auto" w:fill="auto"/>
            <w:vAlign w:val="center"/>
          </w:tcPr>
          <w:p w:rsidR="00243B62" w:rsidRPr="00243B62" w:rsidRDefault="00243B62" w:rsidP="00B32E8B">
            <w:pPr>
              <w:jc w:val="left"/>
              <w:rPr>
                <w:rStyle w:val="Siln"/>
                <w:b w:val="0"/>
                <w:szCs w:val="22"/>
              </w:rPr>
            </w:pPr>
            <w:r w:rsidRPr="00243B62">
              <w:rPr>
                <w:rStyle w:val="Siln"/>
                <w:b w:val="0"/>
                <w:szCs w:val="22"/>
              </w:rPr>
              <w:t>Revízia detektorov CO a CH4</w:t>
            </w:r>
            <w:r>
              <w:rPr>
                <w:rStyle w:val="Siln"/>
                <w:b w:val="0"/>
                <w:szCs w:val="22"/>
              </w:rPr>
              <w:t xml:space="preserve"> 1xročne</w:t>
            </w:r>
          </w:p>
          <w:p w:rsidR="00243B62" w:rsidRPr="00243B62" w:rsidRDefault="00243B62" w:rsidP="00B32E8B">
            <w:pPr>
              <w:jc w:val="left"/>
              <w:rPr>
                <w:rStyle w:val="Siln"/>
                <w:b w:val="0"/>
                <w:szCs w:val="22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43B62" w:rsidRPr="00D20BAA" w:rsidRDefault="00B32E8B" w:rsidP="00243B62">
            <w:pPr>
              <w:jc w:val="center"/>
              <w:rPr>
                <w:rFonts w:cs="ArialNarrow"/>
              </w:rPr>
            </w:pPr>
            <w:r>
              <w:rPr>
                <w:rFonts w:cs="ArialNarrow"/>
              </w:rPr>
              <w:t>7</w:t>
            </w:r>
          </w:p>
        </w:tc>
        <w:tc>
          <w:tcPr>
            <w:tcW w:w="1464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</w:tr>
      <w:tr w:rsidR="00243B62" w:rsidRPr="00D20BAA" w:rsidTr="00B32E8B">
        <w:tc>
          <w:tcPr>
            <w:tcW w:w="3744" w:type="dxa"/>
            <w:shd w:val="clear" w:color="auto" w:fill="auto"/>
            <w:vAlign w:val="center"/>
          </w:tcPr>
          <w:p w:rsidR="00243B62" w:rsidRPr="00243B62" w:rsidRDefault="00243B62" w:rsidP="00B32E8B">
            <w:pPr>
              <w:jc w:val="left"/>
              <w:rPr>
                <w:rStyle w:val="Siln"/>
                <w:b w:val="0"/>
                <w:szCs w:val="22"/>
              </w:rPr>
            </w:pPr>
            <w:r w:rsidRPr="00243B62">
              <w:rPr>
                <w:rStyle w:val="Siln"/>
                <w:b w:val="0"/>
                <w:szCs w:val="22"/>
              </w:rPr>
              <w:t>Preskúšanie komínov</w:t>
            </w:r>
            <w:r>
              <w:rPr>
                <w:rStyle w:val="Siln"/>
                <w:b w:val="0"/>
                <w:szCs w:val="22"/>
              </w:rPr>
              <w:t xml:space="preserve"> 2xročne</w:t>
            </w:r>
          </w:p>
          <w:p w:rsidR="00243B62" w:rsidRPr="00243B62" w:rsidRDefault="00243B62" w:rsidP="00B32E8B">
            <w:pPr>
              <w:jc w:val="left"/>
              <w:rPr>
                <w:rStyle w:val="Siln"/>
                <w:b w:val="0"/>
                <w:szCs w:val="22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43B62" w:rsidRPr="00D20BAA" w:rsidRDefault="00B32E8B" w:rsidP="00243B62">
            <w:pPr>
              <w:jc w:val="center"/>
              <w:rPr>
                <w:rFonts w:cs="ArialNarrow"/>
              </w:rPr>
            </w:pPr>
            <w:r>
              <w:rPr>
                <w:rFonts w:cs="ArialNarrow"/>
              </w:rPr>
              <w:t>2</w:t>
            </w:r>
          </w:p>
        </w:tc>
        <w:tc>
          <w:tcPr>
            <w:tcW w:w="1464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</w:tr>
      <w:tr w:rsidR="00243B62" w:rsidRPr="00D20BAA" w:rsidTr="00B32E8B">
        <w:tc>
          <w:tcPr>
            <w:tcW w:w="3744" w:type="dxa"/>
            <w:shd w:val="clear" w:color="auto" w:fill="auto"/>
            <w:vAlign w:val="center"/>
          </w:tcPr>
          <w:p w:rsidR="00243B62" w:rsidRPr="00243B62" w:rsidRDefault="00243B62" w:rsidP="00B32E8B">
            <w:pPr>
              <w:jc w:val="left"/>
              <w:rPr>
                <w:rStyle w:val="Siln"/>
                <w:b w:val="0"/>
                <w:szCs w:val="22"/>
              </w:rPr>
            </w:pPr>
            <w:r w:rsidRPr="00243B62">
              <w:rPr>
                <w:rStyle w:val="Siln"/>
                <w:b w:val="0"/>
                <w:szCs w:val="22"/>
              </w:rPr>
              <w:t xml:space="preserve">Servis a údržba kotlov </w:t>
            </w:r>
            <w:proofErr w:type="spellStart"/>
            <w:r w:rsidRPr="00243B62">
              <w:rPr>
                <w:rStyle w:val="Siln"/>
                <w:b w:val="0"/>
                <w:szCs w:val="22"/>
              </w:rPr>
              <w:t>Viessmann</w:t>
            </w:r>
            <w:proofErr w:type="spellEnd"/>
            <w:r>
              <w:rPr>
                <w:rStyle w:val="Siln"/>
                <w:b w:val="0"/>
                <w:szCs w:val="22"/>
              </w:rPr>
              <w:t xml:space="preserve"> 1xročne</w:t>
            </w:r>
          </w:p>
          <w:p w:rsidR="00243B62" w:rsidRPr="00243B62" w:rsidRDefault="00243B62" w:rsidP="00B32E8B">
            <w:pPr>
              <w:jc w:val="left"/>
              <w:rPr>
                <w:rStyle w:val="Siln"/>
                <w:b w:val="0"/>
                <w:szCs w:val="22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43B62" w:rsidRPr="00D20BAA" w:rsidRDefault="00B32E8B" w:rsidP="00243B62">
            <w:pPr>
              <w:jc w:val="center"/>
              <w:rPr>
                <w:rFonts w:cs="ArialNarrow"/>
              </w:rPr>
            </w:pPr>
            <w:r>
              <w:rPr>
                <w:rFonts w:cs="ArialNarrow"/>
              </w:rPr>
              <w:t>2</w:t>
            </w:r>
          </w:p>
        </w:tc>
        <w:tc>
          <w:tcPr>
            <w:tcW w:w="1464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</w:tr>
      <w:tr w:rsidR="00B32E8B" w:rsidRPr="00D20BAA" w:rsidTr="00B32E8B">
        <w:tc>
          <w:tcPr>
            <w:tcW w:w="5378" w:type="dxa"/>
            <w:gridSpan w:val="2"/>
            <w:shd w:val="clear" w:color="auto" w:fill="auto"/>
            <w:vAlign w:val="center"/>
          </w:tcPr>
          <w:p w:rsidR="00B32E8B" w:rsidRPr="00B32E8B" w:rsidRDefault="00B32E8B" w:rsidP="00B32E8B">
            <w:pPr>
              <w:jc w:val="left"/>
              <w:rPr>
                <w:rStyle w:val="Siln"/>
                <w:i/>
                <w:szCs w:val="22"/>
              </w:rPr>
            </w:pPr>
            <w:r w:rsidRPr="00B32E8B">
              <w:rPr>
                <w:rStyle w:val="Siln"/>
                <w:i/>
                <w:szCs w:val="22"/>
              </w:rPr>
              <w:t>Cena za 12 mesiacov</w:t>
            </w:r>
          </w:p>
          <w:p w:rsidR="00B32E8B" w:rsidRPr="00B32E8B" w:rsidRDefault="00B32E8B" w:rsidP="00B32E8B">
            <w:pPr>
              <w:jc w:val="left"/>
              <w:rPr>
                <w:rFonts w:cs="ArialNarrow"/>
                <w:b/>
                <w:i/>
              </w:rPr>
            </w:pPr>
          </w:p>
        </w:tc>
        <w:tc>
          <w:tcPr>
            <w:tcW w:w="1464" w:type="dxa"/>
          </w:tcPr>
          <w:p w:rsidR="00B32E8B" w:rsidRPr="00D20BAA" w:rsidRDefault="00B32E8B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B32E8B" w:rsidRPr="00D20BAA" w:rsidRDefault="00B32E8B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B32E8B" w:rsidRPr="00D20BAA" w:rsidRDefault="00B32E8B" w:rsidP="00FF22C7">
            <w:pPr>
              <w:rPr>
                <w:rFonts w:cs="ArialNarrow"/>
              </w:rPr>
            </w:pPr>
          </w:p>
        </w:tc>
      </w:tr>
      <w:tr w:rsidR="00B32E8B" w:rsidRPr="00D20BAA" w:rsidTr="00297899">
        <w:tc>
          <w:tcPr>
            <w:tcW w:w="5378" w:type="dxa"/>
            <w:gridSpan w:val="2"/>
            <w:shd w:val="clear" w:color="auto" w:fill="FFC000"/>
            <w:vAlign w:val="center"/>
          </w:tcPr>
          <w:p w:rsidR="00297899" w:rsidRDefault="00297899" w:rsidP="00B32E8B">
            <w:pPr>
              <w:jc w:val="left"/>
              <w:rPr>
                <w:rStyle w:val="Siln"/>
                <w:i/>
                <w:szCs w:val="22"/>
              </w:rPr>
            </w:pPr>
          </w:p>
          <w:p w:rsidR="00B32E8B" w:rsidRPr="00B32E8B" w:rsidRDefault="00B32E8B" w:rsidP="00B32E8B">
            <w:pPr>
              <w:jc w:val="left"/>
              <w:rPr>
                <w:rStyle w:val="Siln"/>
                <w:i/>
                <w:szCs w:val="22"/>
              </w:rPr>
            </w:pPr>
            <w:r w:rsidRPr="00B32E8B">
              <w:rPr>
                <w:rStyle w:val="Siln"/>
                <w:i/>
                <w:szCs w:val="22"/>
              </w:rPr>
              <w:t>Cena za 48 mesiacov</w:t>
            </w:r>
          </w:p>
          <w:p w:rsidR="00B32E8B" w:rsidRPr="00B32E8B" w:rsidRDefault="00B32E8B" w:rsidP="00B32E8B">
            <w:pPr>
              <w:jc w:val="left"/>
              <w:rPr>
                <w:rFonts w:cs="ArialNarrow"/>
                <w:b/>
                <w:i/>
              </w:rPr>
            </w:pPr>
          </w:p>
        </w:tc>
        <w:tc>
          <w:tcPr>
            <w:tcW w:w="1464" w:type="dxa"/>
            <w:shd w:val="clear" w:color="auto" w:fill="FFC000"/>
          </w:tcPr>
          <w:p w:rsidR="00B32E8B" w:rsidRPr="00D20BAA" w:rsidRDefault="00B32E8B" w:rsidP="00FF22C7">
            <w:pPr>
              <w:rPr>
                <w:rFonts w:cs="ArialNarrow"/>
              </w:rPr>
            </w:pPr>
          </w:p>
        </w:tc>
        <w:tc>
          <w:tcPr>
            <w:tcW w:w="1547" w:type="dxa"/>
            <w:shd w:val="clear" w:color="auto" w:fill="FFC000"/>
          </w:tcPr>
          <w:p w:rsidR="00B32E8B" w:rsidRPr="00D20BAA" w:rsidRDefault="00B32E8B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FFC000"/>
          </w:tcPr>
          <w:p w:rsidR="00B32E8B" w:rsidRPr="00D20BAA" w:rsidRDefault="00B32E8B" w:rsidP="00FF22C7">
            <w:pPr>
              <w:rPr>
                <w:rFonts w:cs="ArialNarrow"/>
              </w:rPr>
            </w:pPr>
          </w:p>
        </w:tc>
      </w:tr>
      <w:tr w:rsidR="00243B62" w:rsidRPr="00D20BAA" w:rsidTr="00B32E8B">
        <w:tc>
          <w:tcPr>
            <w:tcW w:w="3744" w:type="dxa"/>
            <w:shd w:val="clear" w:color="auto" w:fill="auto"/>
            <w:vAlign w:val="center"/>
          </w:tcPr>
          <w:p w:rsidR="00243B62" w:rsidRPr="00243B62" w:rsidRDefault="00243B62" w:rsidP="00B32E8B">
            <w:pPr>
              <w:spacing w:line="276" w:lineRule="auto"/>
              <w:jc w:val="left"/>
              <w:rPr>
                <w:rStyle w:val="Siln"/>
                <w:b w:val="0"/>
                <w:szCs w:val="22"/>
              </w:rPr>
            </w:pPr>
            <w:r w:rsidRPr="00243B62">
              <w:rPr>
                <w:rStyle w:val="Siln"/>
                <w:b w:val="0"/>
                <w:szCs w:val="22"/>
              </w:rPr>
              <w:t>Cena výjazdu do 6 hodín počas pracovných dní v pracovnej dobe od 7,30 do 16,00 hod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43B62" w:rsidRPr="00D20BAA" w:rsidRDefault="00F519F4" w:rsidP="00F519F4">
            <w:pPr>
              <w:jc w:val="center"/>
              <w:rPr>
                <w:rFonts w:cs="ArialNarrow"/>
              </w:rPr>
            </w:pPr>
            <w:r>
              <w:rPr>
                <w:rFonts w:cs="ArialNarrow"/>
              </w:rPr>
              <w:t xml:space="preserve">hod. </w:t>
            </w:r>
          </w:p>
        </w:tc>
        <w:tc>
          <w:tcPr>
            <w:tcW w:w="1464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</w:tr>
      <w:tr w:rsidR="00243B62" w:rsidRPr="00D20BAA" w:rsidTr="00B32E8B">
        <w:tc>
          <w:tcPr>
            <w:tcW w:w="3744" w:type="dxa"/>
            <w:shd w:val="clear" w:color="auto" w:fill="auto"/>
            <w:vAlign w:val="center"/>
          </w:tcPr>
          <w:p w:rsidR="00243B62" w:rsidRPr="00243B62" w:rsidRDefault="00243B62" w:rsidP="00B32E8B">
            <w:pPr>
              <w:spacing w:line="276" w:lineRule="auto"/>
              <w:jc w:val="left"/>
              <w:rPr>
                <w:rStyle w:val="Siln"/>
                <w:b w:val="0"/>
                <w:szCs w:val="22"/>
              </w:rPr>
            </w:pPr>
            <w:r w:rsidRPr="00243B62">
              <w:rPr>
                <w:rStyle w:val="Siln"/>
                <w:b w:val="0"/>
                <w:szCs w:val="22"/>
              </w:rPr>
              <w:t>Cena výjazdu do 6 hodín mimo pracovných dní a pracovnej doby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43B62" w:rsidRPr="00D20BAA" w:rsidRDefault="00F519F4" w:rsidP="00F519F4">
            <w:pPr>
              <w:jc w:val="center"/>
              <w:rPr>
                <w:rFonts w:cs="ArialNarrow"/>
              </w:rPr>
            </w:pPr>
            <w:r>
              <w:rPr>
                <w:rFonts w:cs="ArialNarrow"/>
              </w:rPr>
              <w:t>hod.</w:t>
            </w:r>
          </w:p>
        </w:tc>
        <w:tc>
          <w:tcPr>
            <w:tcW w:w="1464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</w:tr>
      <w:tr w:rsidR="00243B62" w:rsidRPr="00D20BAA" w:rsidTr="00B32E8B">
        <w:tc>
          <w:tcPr>
            <w:tcW w:w="3744" w:type="dxa"/>
            <w:shd w:val="clear" w:color="auto" w:fill="auto"/>
            <w:vAlign w:val="center"/>
          </w:tcPr>
          <w:p w:rsidR="00243B62" w:rsidRPr="00243B62" w:rsidRDefault="00243B62" w:rsidP="00B32E8B">
            <w:pPr>
              <w:spacing w:line="276" w:lineRule="auto"/>
              <w:jc w:val="left"/>
              <w:rPr>
                <w:rStyle w:val="Siln"/>
                <w:b w:val="0"/>
                <w:szCs w:val="22"/>
              </w:rPr>
            </w:pPr>
            <w:r w:rsidRPr="00243B62">
              <w:rPr>
                <w:rStyle w:val="Siln"/>
                <w:b w:val="0"/>
                <w:szCs w:val="22"/>
              </w:rPr>
              <w:t>Dopravné náklady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43B62" w:rsidRPr="00D20BAA" w:rsidRDefault="00B32E8B" w:rsidP="00243B62">
            <w:pPr>
              <w:jc w:val="center"/>
              <w:rPr>
                <w:rFonts w:cs="ArialNarrow"/>
              </w:rPr>
            </w:pPr>
            <w:r>
              <w:rPr>
                <w:rFonts w:cs="ArialNarrow"/>
              </w:rPr>
              <w:t>k</w:t>
            </w:r>
            <w:r w:rsidR="00243B62">
              <w:rPr>
                <w:rFonts w:cs="ArialNarrow"/>
              </w:rPr>
              <w:t>m</w:t>
            </w:r>
          </w:p>
        </w:tc>
        <w:tc>
          <w:tcPr>
            <w:tcW w:w="1464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547" w:type="dxa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243B62" w:rsidRPr="00D20BAA" w:rsidRDefault="00243B62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596A07" w:rsidRDefault="00596A07" w:rsidP="00155A37">
      <w:pPr>
        <w:rPr>
          <w:b/>
          <w:sz w:val="24"/>
          <w:u w:val="single"/>
        </w:rPr>
      </w:pPr>
    </w:p>
    <w:p w:rsidR="00297899" w:rsidRDefault="00297899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Default="009636DA" w:rsidP="00155A37">
      <w:pPr>
        <w:rPr>
          <w:sz w:val="24"/>
        </w:rPr>
      </w:pPr>
    </w:p>
    <w:p w:rsidR="00596A07" w:rsidRDefault="00596A07" w:rsidP="00155A37">
      <w:pPr>
        <w:rPr>
          <w:sz w:val="24"/>
        </w:rPr>
      </w:pPr>
    </w:p>
    <w:p w:rsidR="00596A07" w:rsidRPr="00155A37" w:rsidRDefault="00596A07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lastRenderedPageBreak/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p w:rsidR="00AD355D" w:rsidRPr="00155A37" w:rsidRDefault="00AD355D" w:rsidP="00155A37">
      <w:pPr>
        <w:rPr>
          <w:sz w:val="24"/>
        </w:rPr>
      </w:pP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1A" w:rsidRDefault="002B221A">
      <w:r>
        <w:separator/>
      </w:r>
    </w:p>
  </w:endnote>
  <w:endnote w:type="continuationSeparator" w:id="0">
    <w:p w:rsidR="002B221A" w:rsidRDefault="002B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1A" w:rsidRDefault="002B221A">
      <w:r>
        <w:separator/>
      </w:r>
    </w:p>
  </w:footnote>
  <w:footnote w:type="continuationSeparator" w:id="0">
    <w:p w:rsidR="002B221A" w:rsidRDefault="002B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64F4D"/>
    <w:multiLevelType w:val="multilevel"/>
    <w:tmpl w:val="B1ACC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8"/>
  </w:num>
  <w:num w:numId="12">
    <w:abstractNumId w:val="39"/>
  </w:num>
  <w:num w:numId="13">
    <w:abstractNumId w:val="27"/>
  </w:num>
  <w:num w:numId="14">
    <w:abstractNumId w:val="16"/>
  </w:num>
  <w:num w:numId="15">
    <w:abstractNumId w:val="38"/>
  </w:num>
  <w:num w:numId="16">
    <w:abstractNumId w:val="31"/>
  </w:num>
  <w:num w:numId="17">
    <w:abstractNumId w:val="40"/>
  </w:num>
  <w:num w:numId="18">
    <w:abstractNumId w:val="9"/>
  </w:num>
  <w:num w:numId="19">
    <w:abstractNumId w:val="17"/>
  </w:num>
  <w:num w:numId="20">
    <w:abstractNumId w:val="11"/>
  </w:num>
  <w:num w:numId="21">
    <w:abstractNumId w:val="19"/>
  </w:num>
  <w:num w:numId="22">
    <w:abstractNumId w:val="41"/>
  </w:num>
  <w:num w:numId="23">
    <w:abstractNumId w:val="36"/>
  </w:num>
  <w:num w:numId="24">
    <w:abstractNumId w:val="2"/>
  </w:num>
  <w:num w:numId="25">
    <w:abstractNumId w:val="32"/>
  </w:num>
  <w:num w:numId="26">
    <w:abstractNumId w:val="26"/>
  </w:num>
  <w:num w:numId="27">
    <w:abstractNumId w:val="33"/>
  </w:num>
  <w:num w:numId="28">
    <w:abstractNumId w:val="20"/>
  </w:num>
  <w:num w:numId="29">
    <w:abstractNumId w:val="18"/>
  </w:num>
  <w:num w:numId="30">
    <w:abstractNumId w:val="10"/>
  </w:num>
  <w:num w:numId="31">
    <w:abstractNumId w:val="13"/>
  </w:num>
  <w:num w:numId="32">
    <w:abstractNumId w:val="14"/>
  </w:num>
  <w:num w:numId="33">
    <w:abstractNumId w:val="22"/>
  </w:num>
  <w:num w:numId="34">
    <w:abstractNumId w:val="21"/>
  </w:num>
  <w:num w:numId="35">
    <w:abstractNumId w:val="24"/>
  </w:num>
  <w:num w:numId="36">
    <w:abstractNumId w:val="23"/>
  </w:num>
  <w:num w:numId="37">
    <w:abstractNumId w:val="29"/>
  </w:num>
  <w:num w:numId="38">
    <w:abstractNumId w:val="12"/>
  </w:num>
  <w:num w:numId="39">
    <w:abstractNumId w:val="25"/>
  </w:num>
  <w:num w:numId="40">
    <w:abstractNumId w:val="35"/>
  </w:num>
  <w:num w:numId="41">
    <w:abstractNumId w:val="15"/>
  </w:num>
  <w:num w:numId="42">
    <w:abstractNumId w:val="7"/>
  </w:num>
  <w:num w:numId="43">
    <w:abstractNumId w:val="3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9136D"/>
    <w:rsid w:val="0009791B"/>
    <w:rsid w:val="000B375C"/>
    <w:rsid w:val="000B70B3"/>
    <w:rsid w:val="000B7115"/>
    <w:rsid w:val="000C44CC"/>
    <w:rsid w:val="000C67B6"/>
    <w:rsid w:val="000D37F0"/>
    <w:rsid w:val="000D4996"/>
    <w:rsid w:val="000E6FA3"/>
    <w:rsid w:val="000E703A"/>
    <w:rsid w:val="000F47F5"/>
    <w:rsid w:val="000F5B81"/>
    <w:rsid w:val="000F63E5"/>
    <w:rsid w:val="00102553"/>
    <w:rsid w:val="00110AAD"/>
    <w:rsid w:val="00112A19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B62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7899"/>
    <w:rsid w:val="002A530D"/>
    <w:rsid w:val="002A6626"/>
    <w:rsid w:val="002B221A"/>
    <w:rsid w:val="002C1045"/>
    <w:rsid w:val="002C6FF8"/>
    <w:rsid w:val="002C768F"/>
    <w:rsid w:val="002D11A4"/>
    <w:rsid w:val="002D11C1"/>
    <w:rsid w:val="002D1682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3C0F"/>
    <w:rsid w:val="00323C5B"/>
    <w:rsid w:val="003311B5"/>
    <w:rsid w:val="003315A8"/>
    <w:rsid w:val="003327B0"/>
    <w:rsid w:val="00332D3A"/>
    <w:rsid w:val="0033701E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63F02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12D1"/>
    <w:rsid w:val="004C796A"/>
    <w:rsid w:val="004D256E"/>
    <w:rsid w:val="004D3DE2"/>
    <w:rsid w:val="004D50C6"/>
    <w:rsid w:val="004D6D1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96A07"/>
    <w:rsid w:val="005A798B"/>
    <w:rsid w:val="005B29E3"/>
    <w:rsid w:val="005B33D3"/>
    <w:rsid w:val="005B46F6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373E9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E44A7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32E8B"/>
    <w:rsid w:val="00B4179A"/>
    <w:rsid w:val="00B42F9B"/>
    <w:rsid w:val="00B44710"/>
    <w:rsid w:val="00B70DAA"/>
    <w:rsid w:val="00B7100C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D055FF"/>
    <w:rsid w:val="00D10C67"/>
    <w:rsid w:val="00D120E3"/>
    <w:rsid w:val="00D134E9"/>
    <w:rsid w:val="00D27B63"/>
    <w:rsid w:val="00D31E36"/>
    <w:rsid w:val="00D32065"/>
    <w:rsid w:val="00D33524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08A3"/>
    <w:rsid w:val="00D629E5"/>
    <w:rsid w:val="00D62ED2"/>
    <w:rsid w:val="00D66195"/>
    <w:rsid w:val="00D67600"/>
    <w:rsid w:val="00D74AFE"/>
    <w:rsid w:val="00D75432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4190"/>
    <w:rsid w:val="00F35837"/>
    <w:rsid w:val="00F3602A"/>
    <w:rsid w:val="00F36282"/>
    <w:rsid w:val="00F40837"/>
    <w:rsid w:val="00F431F9"/>
    <w:rsid w:val="00F4711F"/>
    <w:rsid w:val="00F50DB9"/>
    <w:rsid w:val="00F519F4"/>
    <w:rsid w:val="00F51B1A"/>
    <w:rsid w:val="00F62B31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A48F-2EC2-4737-BD05-E172165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2020-06-29T11:57:00Z</cp:lastPrinted>
  <dcterms:created xsi:type="dcterms:W3CDTF">2020-10-05T08:38:00Z</dcterms:created>
  <dcterms:modified xsi:type="dcterms:W3CDTF">2020-10-05T08:38:00Z</dcterms:modified>
</cp:coreProperties>
</file>